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057" w:rsidRPr="00B775B3" w:rsidRDefault="00616057" w:rsidP="00616057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Деловая ситуация 19</w:t>
      </w:r>
    </w:p>
    <w:p w:rsidR="00616057" w:rsidRPr="00B775B3" w:rsidRDefault="00616057" w:rsidP="00616057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16057" w:rsidRPr="00B775B3" w:rsidRDefault="00616057" w:rsidP="00616057">
      <w:pPr>
        <w:shd w:val="clear" w:color="auto" w:fill="FFFFFF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«АНПО «ХОЛОД»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16057" w:rsidRPr="00B775B3" w:rsidRDefault="00616057" w:rsidP="00616057">
      <w:pPr>
        <w:pStyle w:val="1"/>
        <w:keepNext w:val="0"/>
        <w:pageBreakBefore w:val="0"/>
        <w:widowControl w:val="0"/>
        <w:suppressAutoHyphens w:val="0"/>
        <w:spacing w:before="0" w:after="0"/>
        <w:ind w:firstLine="720"/>
        <w:jc w:val="both"/>
        <w:rPr>
          <w:b w:val="0"/>
        </w:rPr>
      </w:pPr>
      <w:r w:rsidRPr="00B775B3">
        <w:rPr>
          <w:caps w:val="0"/>
        </w:rPr>
        <w:t>Исходные данные</w:t>
      </w:r>
      <w:r w:rsidRPr="00B775B3">
        <w:t xml:space="preserve">. </w:t>
      </w:r>
      <w:r w:rsidRPr="00B775B3">
        <w:rPr>
          <w:iCs/>
          <w:caps w:val="0"/>
        </w:rPr>
        <w:t>Характеристика объекта исследования</w:t>
      </w:r>
      <w:r w:rsidRPr="00B775B3">
        <w:rPr>
          <w:iCs/>
        </w:rPr>
        <w:t xml:space="preserve">. </w:t>
      </w:r>
      <w:r w:rsidRPr="00B775B3">
        <w:rPr>
          <w:b w:val="0"/>
          <w:caps w:val="0"/>
        </w:rPr>
        <w:t>Акционерное научно-производственное объединение закрытого типа «холод» (анпо «холод») является одним из основных отече</w:t>
      </w:r>
      <w:r w:rsidRPr="00B775B3">
        <w:rPr>
          <w:b w:val="0"/>
          <w:caps w:val="0"/>
        </w:rPr>
        <w:softHyphen/>
        <w:t>ственных производителей холодильной техники (узлов, агрегатов) и компрессоров к ней</w:t>
      </w:r>
      <w:r w:rsidRPr="00B775B3">
        <w:rPr>
          <w:b w:val="0"/>
        </w:rPr>
        <w:t>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До недавнего времени преобладающий объем научно-производственной деятельности предприятия был ориентирован на выполне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ние госзаказов. На протяжении последних лет предприятие прилагало усилия, адаптируясь к новым условиям хозяйствования, сохранению своего научно-технического и производственного потенциала, осу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ществляло конверсию производства, поиск новых альтернативных заказов на производство продукции, пользующейся спросом. 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Продукция предприятия. </w:t>
      </w:r>
      <w:r w:rsidRPr="00B775B3">
        <w:rPr>
          <w:rFonts w:ascii="Times New Roman" w:hAnsi="Times New Roman" w:cs="Times New Roman"/>
          <w:sz w:val="28"/>
          <w:szCs w:val="28"/>
        </w:rPr>
        <w:t>В настоящее время предприятие выпускает пять видов продукции —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775B3">
        <w:rPr>
          <w:rFonts w:ascii="Times New Roman" w:hAnsi="Times New Roman" w:cs="Times New Roman"/>
          <w:sz w:val="28"/>
          <w:szCs w:val="28"/>
        </w:rPr>
        <w:t>,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775B3">
        <w:rPr>
          <w:rFonts w:ascii="Times New Roman" w:hAnsi="Times New Roman" w:cs="Times New Roman"/>
          <w:sz w:val="28"/>
          <w:szCs w:val="28"/>
        </w:rPr>
        <w:t>,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B775B3">
        <w:rPr>
          <w:rFonts w:ascii="Times New Roman" w:hAnsi="Times New Roman" w:cs="Times New Roman"/>
          <w:sz w:val="28"/>
          <w:szCs w:val="28"/>
        </w:rPr>
        <w:t>,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B775B3">
        <w:rPr>
          <w:rFonts w:ascii="Times New Roman" w:hAnsi="Times New Roman" w:cs="Times New Roman"/>
          <w:sz w:val="28"/>
          <w:szCs w:val="28"/>
        </w:rPr>
        <w:t>,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B775B3">
        <w:rPr>
          <w:rFonts w:ascii="Times New Roman" w:hAnsi="Times New Roman" w:cs="Times New Roman"/>
          <w:sz w:val="28"/>
          <w:szCs w:val="28"/>
        </w:rPr>
        <w:t>. Из них три вида —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775B3">
        <w:rPr>
          <w:rFonts w:ascii="Times New Roman" w:hAnsi="Times New Roman" w:cs="Times New Roman"/>
          <w:sz w:val="28"/>
          <w:szCs w:val="28"/>
        </w:rPr>
        <w:t>,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775B3">
        <w:rPr>
          <w:rFonts w:ascii="Times New Roman" w:hAnsi="Times New Roman" w:cs="Times New Roman"/>
          <w:sz w:val="28"/>
          <w:szCs w:val="28"/>
        </w:rPr>
        <w:t>,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B775B3">
        <w:rPr>
          <w:rFonts w:ascii="Times New Roman" w:hAnsi="Times New Roman" w:cs="Times New Roman"/>
          <w:sz w:val="28"/>
          <w:szCs w:val="28"/>
        </w:rPr>
        <w:t xml:space="preserve"> занимали наиболь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ший удельный вес в производственной программе (до 70%). По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дукции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775B3">
        <w:rPr>
          <w:rFonts w:ascii="Times New Roman" w:hAnsi="Times New Roman" w:cs="Times New Roman"/>
          <w:sz w:val="28"/>
          <w:szCs w:val="28"/>
        </w:rPr>
        <w:t xml:space="preserve"> 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775B3">
        <w:rPr>
          <w:rFonts w:ascii="Times New Roman" w:hAnsi="Times New Roman" w:cs="Times New Roman"/>
          <w:sz w:val="28"/>
          <w:szCs w:val="28"/>
        </w:rPr>
        <w:t>, занимающей более 60% общего объема производ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ства, предприятие является монополистом.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Продукция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775B3">
        <w:rPr>
          <w:rFonts w:ascii="Times New Roman" w:hAnsi="Times New Roman" w:cs="Times New Roman"/>
          <w:sz w:val="28"/>
          <w:szCs w:val="28"/>
        </w:rPr>
        <w:t xml:space="preserve"> 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775B3">
        <w:rPr>
          <w:rFonts w:ascii="Times New Roman" w:hAnsi="Times New Roman" w:cs="Times New Roman"/>
          <w:sz w:val="28"/>
          <w:szCs w:val="28"/>
        </w:rPr>
        <w:t xml:space="preserve"> пользовалась устойчивым спросом в различ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ных сферах народного хозяйства — промышленных предприятиях, агропромышленном комплексе, шахтах, торговых организациях и т.д. В последнее время выявился спрос на эту продукцию и на рынках зарубежных стран (в первую очередь на рынках Азии и Африки).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 продукции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B775B3">
        <w:rPr>
          <w:rFonts w:ascii="Times New Roman" w:hAnsi="Times New Roman" w:cs="Times New Roman"/>
          <w:sz w:val="28"/>
          <w:szCs w:val="28"/>
        </w:rPr>
        <w:t xml:space="preserve"> (занимает около 10% общего объема производ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ства) произошло устойчивое снижение госзаказа, а ее перепрофи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лирование для целей широкого использования в отраслях народного хозяйства по целому ряду материально-технических, организацион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ных и финансовых причин представляется малоперспективным.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Продукция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B775B3">
        <w:rPr>
          <w:rFonts w:ascii="Times New Roman" w:hAnsi="Times New Roman" w:cs="Times New Roman"/>
          <w:sz w:val="28"/>
          <w:szCs w:val="28"/>
        </w:rPr>
        <w:t xml:space="preserve"> 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B775B3">
        <w:rPr>
          <w:rFonts w:ascii="Times New Roman" w:hAnsi="Times New Roman" w:cs="Times New Roman"/>
          <w:sz w:val="28"/>
          <w:szCs w:val="28"/>
        </w:rPr>
        <w:t xml:space="preserve"> относится к новым и перспективным видам техники гражданского назначения — компрессоры для рефрижерато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ров и холодильные установки для мороженого.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Так, компрессор к холодильным камерам для авторефрижерато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ров сертифицирован в ряде стран Европы, что привлекло внимание покупателей как в СНГ, так и за его пределами, обеспечив тем самым устойчивый сбыт этой продукции.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Однако в настоящее время объем производства продукции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B775B3">
        <w:rPr>
          <w:rFonts w:ascii="Times New Roman" w:hAnsi="Times New Roman" w:cs="Times New Roman"/>
          <w:sz w:val="28"/>
          <w:szCs w:val="28"/>
        </w:rPr>
        <w:t xml:space="preserve"> 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B775B3">
        <w:rPr>
          <w:rFonts w:ascii="Times New Roman" w:hAnsi="Times New Roman" w:cs="Times New Roman"/>
          <w:sz w:val="28"/>
          <w:szCs w:val="28"/>
        </w:rPr>
        <w:t xml:space="preserve"> в общей программе предприятия занимает небольшой удельный вес (немногим больше 10%). При этом у предприятия по данным видам продукции есть конкуренты в России и странах СНГ.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Потенциал предприятия. </w:t>
      </w:r>
      <w:r w:rsidRPr="00B775B3">
        <w:rPr>
          <w:rFonts w:ascii="Times New Roman" w:hAnsi="Times New Roman" w:cs="Times New Roman"/>
          <w:sz w:val="28"/>
          <w:szCs w:val="28"/>
        </w:rPr>
        <w:t>Предприятие обладает высоким научно-техническим, производственным и организационным потенциалом.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На предприятии имеется законченный цикл НИОКР и техничес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кого обеспечения производства.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lastRenderedPageBreak/>
        <w:t>В организационной структуре предприятия имеется крупное ОКБ с опытным производством, а также отделы: главного конструктора (ОГК), главного технолога (ОГТ) и главного механика (ОГМ).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Выпуск каждого вида продукции организован на предприятии </w:t>
      </w:r>
      <w:proofErr w:type="gramStart"/>
      <w:r w:rsidRPr="00B775B3">
        <w:rPr>
          <w:rFonts w:ascii="Times New Roman" w:hAnsi="Times New Roman" w:cs="Times New Roman"/>
          <w:sz w:val="28"/>
          <w:szCs w:val="28"/>
        </w:rPr>
        <w:t>в рамках</w:t>
      </w:r>
      <w:proofErr w:type="gramEnd"/>
      <w:r w:rsidRPr="00B775B3">
        <w:rPr>
          <w:rFonts w:ascii="Times New Roman" w:hAnsi="Times New Roman" w:cs="Times New Roman"/>
          <w:sz w:val="28"/>
          <w:szCs w:val="28"/>
        </w:rPr>
        <w:t xml:space="preserve"> отдельных специализированных производственно-хозяйствен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ных единиц при сохранении внутрипроизводственной кооперации.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Предприятие сохранило основные хозяйственные связи с поставщиками сырья, материалов, комплектующих деталей и узлов.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На предприятии создано современное производство особо слож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ных и дефицитных узлов, входящих в готовые изделия как комплекту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ющие. Предприятие осуществляет послепродажное сервисное обслу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живание своих изделий силами специального отдела — отдела сервис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ного обслуживания (ОСО).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Рыночные позиции предприятия. </w:t>
      </w:r>
      <w:r w:rsidRPr="00B775B3">
        <w:rPr>
          <w:rFonts w:ascii="Times New Roman" w:hAnsi="Times New Roman" w:cs="Times New Roman"/>
          <w:sz w:val="28"/>
          <w:szCs w:val="28"/>
        </w:rPr>
        <w:t>Переход к рыночным отношениям и изменение условий хозяйствования поставили предприятие перед фактом невостребования значи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тельного объема продукции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775B3">
        <w:rPr>
          <w:rFonts w:ascii="Times New Roman" w:hAnsi="Times New Roman" w:cs="Times New Roman"/>
          <w:sz w:val="28"/>
          <w:szCs w:val="28"/>
        </w:rPr>
        <w:t>,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775B3">
        <w:rPr>
          <w:rFonts w:ascii="Times New Roman" w:hAnsi="Times New Roman" w:cs="Times New Roman"/>
          <w:sz w:val="28"/>
          <w:szCs w:val="28"/>
        </w:rPr>
        <w:t>,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B775B3">
        <w:rPr>
          <w:rFonts w:ascii="Times New Roman" w:hAnsi="Times New Roman" w:cs="Times New Roman"/>
          <w:sz w:val="28"/>
          <w:szCs w:val="28"/>
        </w:rPr>
        <w:t>, производимой по госзаказу.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Начиная с 1993 г. наблюдается резкий и устойчивый спад суммар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ного объема продаж. Не меняет сложившегося положения и то, что предприятие освоило выпуск новых, пользующихся растущим рыноч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ным спросом изделий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B775B3">
        <w:rPr>
          <w:rFonts w:ascii="Times New Roman" w:hAnsi="Times New Roman" w:cs="Times New Roman"/>
          <w:sz w:val="28"/>
          <w:szCs w:val="28"/>
        </w:rPr>
        <w:t xml:space="preserve"> 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B775B3">
        <w:rPr>
          <w:rFonts w:ascii="Times New Roman" w:hAnsi="Times New Roman" w:cs="Times New Roman"/>
          <w:sz w:val="28"/>
          <w:szCs w:val="28"/>
        </w:rPr>
        <w:t xml:space="preserve"> (рис. 16).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922520" cy="1828800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sz w:val="28"/>
          <w:szCs w:val="28"/>
        </w:rPr>
        <w:t>Рис. 19.1 -</w:t>
      </w:r>
      <w:r w:rsidRPr="00B775B3">
        <w:rPr>
          <w:rFonts w:ascii="Times New Roman" w:hAnsi="Times New Roman" w:cs="Times New Roman"/>
          <w:sz w:val="28"/>
          <w:szCs w:val="28"/>
        </w:rPr>
        <w:t xml:space="preserve"> Жизненные циклы продукции.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Прогноз развития рынка. </w:t>
      </w:r>
      <w:r w:rsidRPr="00B775B3">
        <w:rPr>
          <w:rFonts w:ascii="Times New Roman" w:hAnsi="Times New Roman" w:cs="Times New Roman"/>
          <w:sz w:val="28"/>
          <w:szCs w:val="28"/>
        </w:rPr>
        <w:t>Экспертный портфельный прогноз продукции предприятия на 2000 г. представлен в табл. 19.1.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 продукции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775B3">
        <w:rPr>
          <w:rFonts w:ascii="Times New Roman" w:hAnsi="Times New Roman" w:cs="Times New Roman"/>
          <w:sz w:val="28"/>
          <w:szCs w:val="28"/>
        </w:rPr>
        <w:t xml:space="preserve"> 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775B3">
        <w:rPr>
          <w:rFonts w:ascii="Times New Roman" w:hAnsi="Times New Roman" w:cs="Times New Roman"/>
          <w:sz w:val="28"/>
          <w:szCs w:val="28"/>
        </w:rPr>
        <w:t xml:space="preserve"> наблюдается уменьшение рыночного спро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са на 40%, но при этом сохраняется потребность в выпуске на уровне 20,0 и 30,0 млн. усл. единиц. 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 продукции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B775B3">
        <w:rPr>
          <w:rFonts w:ascii="Times New Roman" w:hAnsi="Times New Roman" w:cs="Times New Roman"/>
          <w:sz w:val="28"/>
          <w:szCs w:val="28"/>
        </w:rPr>
        <w:t xml:space="preserve"> по всем показателям рыночные позиции крайне неблагоприятные.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Продукция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B775B3">
        <w:rPr>
          <w:rFonts w:ascii="Times New Roman" w:hAnsi="Times New Roman" w:cs="Times New Roman"/>
          <w:sz w:val="28"/>
          <w:szCs w:val="28"/>
        </w:rPr>
        <w:t xml:space="preserve"> и П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B775B3">
        <w:rPr>
          <w:rFonts w:ascii="Times New Roman" w:hAnsi="Times New Roman" w:cs="Times New Roman"/>
          <w:sz w:val="28"/>
          <w:szCs w:val="28"/>
        </w:rPr>
        <w:t xml:space="preserve"> является новой и перспективной для предпри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ятия. Имеется достаточная емкость рынка, растет спрос, вследствие чего имеется реальная возможность увеличения доли этой продукции предприятия на рынке.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iCs/>
          <w:sz w:val="28"/>
          <w:szCs w:val="28"/>
        </w:rPr>
        <w:t>Сильные и слабые стороны предприятия</w:t>
      </w:r>
    </w:p>
    <w:p w:rsidR="00616057" w:rsidRPr="00B775B3" w:rsidRDefault="00616057" w:rsidP="00616057">
      <w:pPr>
        <w:pStyle w:val="6"/>
        <w:spacing w:before="0" w:after="0"/>
        <w:ind w:firstLine="720"/>
        <w:jc w:val="both"/>
        <w:rPr>
          <w:sz w:val="28"/>
          <w:szCs w:val="28"/>
        </w:rPr>
      </w:pPr>
    </w:p>
    <w:p w:rsidR="00616057" w:rsidRPr="00B775B3" w:rsidRDefault="00616057" w:rsidP="00616057">
      <w:pPr>
        <w:pStyle w:val="6"/>
        <w:spacing w:before="0" w:after="0"/>
        <w:ind w:firstLine="720"/>
        <w:jc w:val="both"/>
        <w:rPr>
          <w:sz w:val="28"/>
          <w:szCs w:val="28"/>
        </w:rPr>
      </w:pPr>
      <w:r w:rsidRPr="00B775B3">
        <w:rPr>
          <w:sz w:val="28"/>
          <w:szCs w:val="28"/>
        </w:rPr>
        <w:t>Таблица   19.1- Портфельный прогноз продукции предприятия</w:t>
      </w: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402"/>
        <w:gridCol w:w="1247"/>
        <w:gridCol w:w="1247"/>
        <w:gridCol w:w="1248"/>
        <w:gridCol w:w="1247"/>
        <w:gridCol w:w="1248"/>
      </w:tblGrid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88"/>
        </w:trPr>
        <w:tc>
          <w:tcPr>
            <w:tcW w:w="3402" w:type="dxa"/>
            <w:vMerge w:val="restart"/>
          </w:tcPr>
          <w:p w:rsidR="00616057" w:rsidRPr="00B775B3" w:rsidRDefault="00616057" w:rsidP="00E55692">
            <w:pPr>
              <w:pStyle w:val="8"/>
              <w:spacing w:before="0" w:after="0"/>
              <w:jc w:val="both"/>
              <w:rPr>
                <w:b/>
                <w:i w:val="0"/>
              </w:rPr>
            </w:pPr>
            <w:r w:rsidRPr="00B775B3">
              <w:rPr>
                <w:b/>
                <w:i w:val="0"/>
              </w:rPr>
              <w:t>Показатель</w:t>
            </w:r>
          </w:p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  <w:gridSpan w:val="5"/>
          </w:tcPr>
          <w:p w:rsidR="00616057" w:rsidRPr="00B775B3" w:rsidRDefault="00616057" w:rsidP="00E55692">
            <w:pPr>
              <w:pStyle w:val="8"/>
              <w:spacing w:before="0" w:after="0"/>
              <w:jc w:val="both"/>
              <w:rPr>
                <w:b/>
                <w:i w:val="0"/>
              </w:rPr>
            </w:pPr>
            <w:r w:rsidRPr="00B775B3">
              <w:rPr>
                <w:b/>
                <w:i w:val="0"/>
              </w:rPr>
              <w:t>Вид продукции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78"/>
        </w:trPr>
        <w:tc>
          <w:tcPr>
            <w:tcW w:w="3402" w:type="dxa"/>
            <w:vMerge/>
          </w:tcPr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48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48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trHeight w:val="317"/>
        </w:trPr>
        <w:tc>
          <w:tcPr>
            <w:tcW w:w="3402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Емкость рынка, млн. усл. ед.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20,0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1248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248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3402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Объем производства, млн. усл. ед.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20,0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1248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1248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trHeight w:val="269"/>
        </w:trPr>
        <w:tc>
          <w:tcPr>
            <w:tcW w:w="3402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Изменение рыночного спроса, %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-40,0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-40,0</w:t>
            </w:r>
          </w:p>
        </w:tc>
        <w:tc>
          <w:tcPr>
            <w:tcW w:w="1248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-50,0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248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25,0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trHeight w:val="269"/>
        </w:trPr>
        <w:tc>
          <w:tcPr>
            <w:tcW w:w="3402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Доля продукции предприятия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8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20,0</w:t>
            </w:r>
          </w:p>
        </w:tc>
        <w:tc>
          <w:tcPr>
            <w:tcW w:w="1248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3402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на рынке</w:t>
            </w: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Cs w:val="23"/>
        </w:rPr>
      </w:pP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матрице ситуационного анализа (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SWOT</w:t>
      </w:r>
      <w:r w:rsidRPr="00B775B3">
        <w:rPr>
          <w:rFonts w:ascii="Times New Roman" w:hAnsi="Times New Roman" w:cs="Times New Roman"/>
          <w:sz w:val="28"/>
          <w:szCs w:val="28"/>
        </w:rPr>
        <w:t>), произведенного экспертами по системе трех факторов, отобранных экспертами в каче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стве главных для каждого поля, представлена оценка слабых и силь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ных сторон предприятия (табл. 19.2). 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Результат суммарного влияния сла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бых и сильных сторон предприятия на возможности и угрозы со стороны внешней среды положителен (значение, равное +5). Несмот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ря на изменившиеся экономические условия, приведшие к недоста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точно высоким и неустойчивым рыночным позициям предприятия, оно в целом располагает значительным положительным потенциалом для осуществления и развития своей хозяйственной деятельности.</w:t>
      </w:r>
    </w:p>
    <w:p w:rsidR="00616057" w:rsidRPr="00B775B3" w:rsidRDefault="00616057" w:rsidP="00616057">
      <w:pPr>
        <w:pStyle w:val="6"/>
        <w:spacing w:before="0" w:after="0"/>
        <w:ind w:firstLine="720"/>
        <w:jc w:val="both"/>
        <w:rPr>
          <w:b w:val="0"/>
          <w:sz w:val="28"/>
          <w:szCs w:val="28"/>
        </w:rPr>
      </w:pPr>
      <w:r w:rsidRPr="00B775B3">
        <w:rPr>
          <w:b w:val="0"/>
          <w:sz w:val="28"/>
          <w:szCs w:val="28"/>
        </w:rPr>
        <w:t>Однако отсутствие опыта в области формирования общей страте</w:t>
      </w:r>
      <w:r w:rsidRPr="00B775B3">
        <w:rPr>
          <w:b w:val="0"/>
          <w:sz w:val="28"/>
          <w:szCs w:val="28"/>
        </w:rPr>
        <w:softHyphen/>
        <w:t>гии предприятия и маркетинговых исследований, слабый учет факто</w:t>
      </w:r>
      <w:r w:rsidRPr="00B775B3">
        <w:rPr>
          <w:b w:val="0"/>
          <w:sz w:val="28"/>
          <w:szCs w:val="28"/>
        </w:rPr>
        <w:softHyphen/>
        <w:t>ров внешней и внутренней среды хозяйствования, недостаток данных по объемам рынка и величине рыночного спроса по той или иной продукции, и как следствие неготовность эффективно переключиться с существующего на новый товарный ассортимент, резко усложнили задачу выживания предприятия в формирующейся рыночной среде.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Все это ведет к отрицательным финансовым результатам.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Cs w:val="22"/>
        </w:rPr>
      </w:pPr>
      <w:r w:rsidRPr="00B775B3">
        <w:rPr>
          <w:rFonts w:ascii="Times New Roman" w:hAnsi="Times New Roman" w:cs="Times New Roman"/>
          <w:sz w:val="28"/>
          <w:szCs w:val="28"/>
        </w:rPr>
        <w:t>Таким образом, перед предприятием стоит важная и сложная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блема повышения его конкурентоспособности, укрепления и расши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рения рыночных позиций, обеспечения финансовой устойчивости хо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зяйственной деятельности.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>Задания: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1. Оцените достигнутые стратегические позиции предприятия и сформулируйте стратегические цели его хозяйственной деятельности.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2. Определите стратегию развития хозяйственного портфеля предприятия.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3. Сформулируйте задачи маркетинговой деятельности предприятия по его товарному ассортименту.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4. Выберите маркетинговые стратегии по товарному ассортименту пред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приятия для обеспечения его устойчивой и эффективной хозяйственной деятельности.</w:t>
      </w:r>
    </w:p>
    <w:p w:rsidR="00616057" w:rsidRPr="00B775B3" w:rsidRDefault="00616057" w:rsidP="0061605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16057" w:rsidRPr="00B775B3" w:rsidRDefault="00616057" w:rsidP="00616057">
      <w:pPr>
        <w:pStyle w:val="6"/>
        <w:spacing w:before="0" w:after="0"/>
        <w:ind w:firstLine="720"/>
        <w:jc w:val="both"/>
        <w:rPr>
          <w:sz w:val="28"/>
          <w:szCs w:val="28"/>
        </w:rPr>
      </w:pPr>
    </w:p>
    <w:p w:rsidR="00616057" w:rsidRPr="00B775B3" w:rsidRDefault="00616057" w:rsidP="00616057">
      <w:pPr>
        <w:pStyle w:val="6"/>
        <w:spacing w:before="0" w:after="0"/>
        <w:ind w:firstLine="720"/>
        <w:jc w:val="both"/>
        <w:rPr>
          <w:sz w:val="28"/>
          <w:szCs w:val="28"/>
        </w:rPr>
      </w:pPr>
    </w:p>
    <w:p w:rsidR="00616057" w:rsidRPr="00B775B3" w:rsidRDefault="00616057" w:rsidP="00616057">
      <w:pPr>
        <w:pStyle w:val="6"/>
        <w:spacing w:before="0" w:after="0"/>
        <w:ind w:firstLine="720"/>
        <w:jc w:val="both"/>
        <w:rPr>
          <w:sz w:val="28"/>
          <w:szCs w:val="28"/>
        </w:rPr>
      </w:pPr>
    </w:p>
    <w:p w:rsidR="00616057" w:rsidRPr="00B775B3" w:rsidRDefault="00616057" w:rsidP="00616057">
      <w:pPr>
        <w:pStyle w:val="6"/>
        <w:spacing w:before="0" w:after="0"/>
        <w:ind w:firstLine="720"/>
        <w:jc w:val="both"/>
        <w:rPr>
          <w:sz w:val="28"/>
          <w:szCs w:val="28"/>
        </w:rPr>
      </w:pPr>
      <w:r w:rsidRPr="00B775B3">
        <w:rPr>
          <w:sz w:val="28"/>
          <w:szCs w:val="28"/>
        </w:rPr>
        <w:t>Таблица   19.2 -Матрица ситуационного анализа (</w:t>
      </w:r>
      <w:r w:rsidRPr="00B775B3">
        <w:rPr>
          <w:sz w:val="28"/>
          <w:szCs w:val="28"/>
          <w:lang w:val="en-US"/>
        </w:rPr>
        <w:t>SWOT</w:t>
      </w:r>
      <w:r w:rsidRPr="00B775B3">
        <w:rPr>
          <w:sz w:val="28"/>
          <w:szCs w:val="28"/>
        </w:rPr>
        <w:t>)</w:t>
      </w:r>
    </w:p>
    <w:tbl>
      <w:tblPr>
        <w:tblW w:w="979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26"/>
        <w:gridCol w:w="567"/>
        <w:gridCol w:w="14"/>
        <w:gridCol w:w="550"/>
        <w:gridCol w:w="8"/>
        <w:gridCol w:w="67"/>
        <w:gridCol w:w="625"/>
        <w:gridCol w:w="11"/>
        <w:gridCol w:w="8"/>
        <w:gridCol w:w="560"/>
        <w:gridCol w:w="8"/>
        <w:gridCol w:w="677"/>
        <w:gridCol w:w="27"/>
        <w:gridCol w:w="8"/>
        <w:gridCol w:w="559"/>
        <w:gridCol w:w="35"/>
        <w:gridCol w:w="1100"/>
        <w:gridCol w:w="8"/>
        <w:gridCol w:w="559"/>
        <w:gridCol w:w="8"/>
        <w:gridCol w:w="2260"/>
        <w:gridCol w:w="8"/>
      </w:tblGrid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50"/>
        </w:trPr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8"/>
              <w:spacing w:before="0" w:after="0"/>
              <w:jc w:val="both"/>
              <w:rPr>
                <w:i w:val="0"/>
              </w:rPr>
            </w:pPr>
          </w:p>
          <w:p w:rsidR="00616057" w:rsidRPr="00B775B3" w:rsidRDefault="00616057" w:rsidP="00E55692">
            <w:pPr>
              <w:pStyle w:val="8"/>
              <w:spacing w:before="0" w:after="0"/>
              <w:jc w:val="both"/>
              <w:rPr>
                <w:i w:val="0"/>
              </w:rPr>
            </w:pPr>
          </w:p>
          <w:p w:rsidR="00616057" w:rsidRPr="00B775B3" w:rsidRDefault="00616057" w:rsidP="00E55692">
            <w:pPr>
              <w:pStyle w:val="8"/>
              <w:spacing w:before="0" w:after="0"/>
              <w:jc w:val="both"/>
              <w:rPr>
                <w:i w:val="0"/>
              </w:rPr>
            </w:pPr>
          </w:p>
          <w:p w:rsidR="00616057" w:rsidRPr="00B775B3" w:rsidRDefault="00616057" w:rsidP="00E55692">
            <w:pPr>
              <w:pStyle w:val="8"/>
              <w:spacing w:before="0" w:after="0"/>
              <w:jc w:val="both"/>
              <w:rPr>
                <w:i w:val="0"/>
              </w:rPr>
            </w:pPr>
            <w:r w:rsidRPr="00B775B3">
              <w:rPr>
                <w:i w:val="0"/>
              </w:rPr>
              <w:t>Внешняя среда</w:t>
            </w:r>
          </w:p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8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8"/>
              <w:spacing w:before="0" w:after="0"/>
              <w:jc w:val="both"/>
              <w:rPr>
                <w:i w:val="0"/>
              </w:rPr>
            </w:pPr>
            <w:r w:rsidRPr="00B775B3">
              <w:rPr>
                <w:i w:val="0"/>
              </w:rPr>
              <w:t>Внутренняя среда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21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8"/>
              <w:spacing w:before="0" w:after="0"/>
              <w:jc w:val="both"/>
              <w:rPr>
                <w:i w:val="0"/>
              </w:rPr>
            </w:pPr>
            <w:r w:rsidRPr="00B775B3">
              <w:rPr>
                <w:i w:val="0"/>
              </w:rPr>
              <w:t>Слабые стороны</w:t>
            </w:r>
          </w:p>
        </w:tc>
        <w:tc>
          <w:tcPr>
            <w:tcW w:w="298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8"/>
              <w:spacing w:before="0" w:after="0"/>
              <w:jc w:val="both"/>
              <w:rPr>
                <w:i w:val="0"/>
              </w:rPr>
            </w:pPr>
            <w:r w:rsidRPr="00B775B3">
              <w:rPr>
                <w:i w:val="0"/>
              </w:rPr>
              <w:t>Сильные стороны</w:t>
            </w:r>
          </w:p>
        </w:tc>
        <w:tc>
          <w:tcPr>
            <w:tcW w:w="2268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a3"/>
              <w:ind w:left="0" w:right="0"/>
              <w:jc w:val="both"/>
            </w:pPr>
            <w:r w:rsidRPr="00B775B3">
              <w:t>всего</w:t>
            </w:r>
          </w:p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76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Неразвитость каналов сбыта</w:t>
            </w:r>
          </w:p>
        </w:tc>
        <w:tc>
          <w:tcPr>
            <w:tcW w:w="62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Слабая информационно-техническая служба</w:t>
            </w:r>
          </w:p>
        </w:tc>
        <w:tc>
          <w:tcPr>
            <w:tcW w:w="6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Недостаток свободных средств</w:t>
            </w:r>
          </w:p>
        </w:tc>
        <w:tc>
          <w:tcPr>
            <w:tcW w:w="58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 т о г о</w:t>
            </w:r>
          </w:p>
        </w:tc>
        <w:tc>
          <w:tcPr>
            <w:tcW w:w="67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Собственная база НИОКР</w:t>
            </w:r>
          </w:p>
        </w:tc>
        <w:tc>
          <w:tcPr>
            <w:tcW w:w="629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Сравнительно низкие цены на продукцию</w:t>
            </w:r>
          </w:p>
        </w:tc>
        <w:tc>
          <w:tcPr>
            <w:tcW w:w="110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Наличие международных сертификатов на продукцию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И т о г о </w:t>
            </w:r>
          </w:p>
        </w:tc>
        <w:tc>
          <w:tcPr>
            <w:tcW w:w="2268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76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02"/>
        </w:trPr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5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21"/>
        </w:trPr>
        <w:tc>
          <w:tcPr>
            <w:tcW w:w="9793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21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Рост размеров спроса и расширения рынка (субрынка)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7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21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Проведение сбалансированной кредитной политики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-1</w:t>
            </w:r>
          </w:p>
        </w:tc>
        <w:tc>
          <w:tcPr>
            <w:tcW w:w="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-1</w:t>
            </w:r>
          </w:p>
        </w:tc>
        <w:tc>
          <w:tcPr>
            <w:tcW w:w="7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1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21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Выход на международный рынок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7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057" w:rsidRPr="00B775B3" w:rsidRDefault="00616057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21"/>
        </w:trPr>
        <w:tc>
          <w:tcPr>
            <w:tcW w:w="9793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Угрозы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221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Ужесточение конкуренции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-3</w:t>
            </w:r>
          </w:p>
        </w:tc>
        <w:tc>
          <w:tcPr>
            <w:tcW w:w="5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-3</w:t>
            </w:r>
          </w:p>
        </w:tc>
        <w:tc>
          <w:tcPr>
            <w:tcW w:w="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-3</w:t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-9</w:t>
            </w:r>
          </w:p>
        </w:tc>
        <w:tc>
          <w:tcPr>
            <w:tcW w:w="7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-2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221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Рост инфляции и ужесточение налоговой политики государства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-1</w:t>
            </w:r>
          </w:p>
        </w:tc>
        <w:tc>
          <w:tcPr>
            <w:tcW w:w="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-3</w:t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</w:p>
        </w:tc>
        <w:tc>
          <w:tcPr>
            <w:tcW w:w="7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-1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221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Неплатежеспособность покупателей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-3</w:t>
            </w:r>
          </w:p>
        </w:tc>
        <w:tc>
          <w:tcPr>
            <w:tcW w:w="5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-1</w:t>
            </w:r>
          </w:p>
        </w:tc>
        <w:tc>
          <w:tcPr>
            <w:tcW w:w="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</w:p>
        </w:tc>
        <w:tc>
          <w:tcPr>
            <w:tcW w:w="7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-1</w:t>
            </w:r>
          </w:p>
        </w:tc>
      </w:tr>
      <w:tr w:rsidR="00616057" w:rsidRPr="00B775B3" w:rsidTr="00E55692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221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-9</w:t>
            </w:r>
          </w:p>
        </w:tc>
        <w:tc>
          <w:tcPr>
            <w:tcW w:w="56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-8</w:t>
            </w:r>
          </w:p>
        </w:tc>
        <w:tc>
          <w:tcPr>
            <w:tcW w:w="711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-12</w:t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-29</w:t>
            </w:r>
          </w:p>
        </w:tc>
        <w:tc>
          <w:tcPr>
            <w:tcW w:w="71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6057" w:rsidRPr="00B775B3" w:rsidRDefault="00616057" w:rsidP="00E55692">
            <w:pPr>
              <w:pStyle w:val="9"/>
              <w:spacing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</w:tbl>
    <w:p w:rsidR="00FB2F1C" w:rsidRDefault="00FB2F1C">
      <w:bookmarkStart w:id="0" w:name="_GoBack"/>
      <w:bookmarkEnd w:id="0"/>
    </w:p>
    <w:sectPr w:rsidR="00FB2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514"/>
    <w:rsid w:val="00440514"/>
    <w:rsid w:val="00616057"/>
    <w:rsid w:val="00FB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B838CB-B6A5-4DC9-BF9D-AB1536393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05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16057"/>
    <w:pPr>
      <w:keepNext/>
      <w:pageBreakBefore/>
      <w:widowControl/>
      <w:suppressAutoHyphens/>
      <w:autoSpaceDE/>
      <w:autoSpaceDN/>
      <w:adjustRightInd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28"/>
      <w:sz w:val="28"/>
      <w:szCs w:val="28"/>
    </w:rPr>
  </w:style>
  <w:style w:type="paragraph" w:styleId="6">
    <w:name w:val="heading 6"/>
    <w:basedOn w:val="a"/>
    <w:next w:val="a"/>
    <w:link w:val="60"/>
    <w:qFormat/>
    <w:rsid w:val="00616057"/>
    <w:p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8">
    <w:name w:val="heading 8"/>
    <w:basedOn w:val="a"/>
    <w:next w:val="a"/>
    <w:link w:val="80"/>
    <w:qFormat/>
    <w:rsid w:val="00616057"/>
    <w:pPr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616057"/>
    <w:pPr>
      <w:spacing w:before="240" w:after="60"/>
      <w:outlineLvl w:val="8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6057"/>
    <w:rPr>
      <w:rFonts w:ascii="Times New Roman" w:eastAsia="Times New Roman" w:hAnsi="Times New Roman" w:cs="Times New Roman"/>
      <w:b/>
      <w:caps/>
      <w:kern w:val="28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61605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80">
    <w:name w:val="Заголовок 8 Знак"/>
    <w:basedOn w:val="a0"/>
    <w:link w:val="8"/>
    <w:rsid w:val="0061605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16057"/>
    <w:rPr>
      <w:rFonts w:ascii="Arial" w:eastAsia="Times New Roman" w:hAnsi="Arial" w:cs="Arial"/>
      <w:lang w:eastAsia="ru-RU"/>
    </w:rPr>
  </w:style>
  <w:style w:type="paragraph" w:styleId="a3">
    <w:name w:val="Block Text"/>
    <w:basedOn w:val="a"/>
    <w:rsid w:val="00616057"/>
    <w:pPr>
      <w:widowControl/>
      <w:shd w:val="clear" w:color="auto" w:fill="FFFFFF"/>
      <w:ind w:left="57" w:right="113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019762845849802"/>
          <c:y val="0.11538461538461539"/>
          <c:w val="0.53952569169960474"/>
          <c:h val="0.56593406593406592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Суммарный объем продаж</c:v>
                </c:pt>
              </c:strCache>
            </c:strRef>
          </c:tx>
          <c:spPr>
            <a:ln w="12700">
              <a:solidFill>
                <a:srgbClr val="000080"/>
              </a:solidFill>
              <a:prstDash val="solid"/>
            </a:ln>
          </c:spPr>
          <c:marker>
            <c:symbol val="diamond"/>
            <c:size val="5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cat>
            <c:numRef>
              <c:f>Sheet1!$B$1:$H$1</c:f>
              <c:numCache>
                <c:formatCode>General</c:formatCode>
                <c:ptCount val="7"/>
                <c:pt idx="0">
                  <c:v>1990</c:v>
                </c:pt>
                <c:pt idx="1">
                  <c:v>1991</c:v>
                </c:pt>
                <c:pt idx="2">
                  <c:v>1992</c:v>
                </c:pt>
                <c:pt idx="3">
                  <c:v>1993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</c:numCache>
            </c:numRef>
          </c:cat>
          <c:val>
            <c:numRef>
              <c:f>Sheet1!$B$2:$H$2</c:f>
              <c:numCache>
                <c:formatCode>General</c:formatCode>
                <c:ptCount val="7"/>
                <c:pt idx="0">
                  <c:v>70</c:v>
                </c:pt>
                <c:pt idx="1">
                  <c:v>80</c:v>
                </c:pt>
                <c:pt idx="2">
                  <c:v>82</c:v>
                </c:pt>
                <c:pt idx="3">
                  <c:v>88</c:v>
                </c:pt>
                <c:pt idx="4">
                  <c:v>87</c:v>
                </c:pt>
                <c:pt idx="5">
                  <c:v>72</c:v>
                </c:pt>
                <c:pt idx="6">
                  <c:v>65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Продукт П2</c:v>
                </c:pt>
              </c:strCache>
            </c:strRef>
          </c:tx>
          <c:spPr>
            <a:ln w="12700">
              <a:solidFill>
                <a:srgbClr val="FF00FF"/>
              </a:solidFill>
              <a:prstDash val="solid"/>
            </a:ln>
          </c:spPr>
          <c:marker>
            <c:symbol val="square"/>
            <c:size val="5"/>
            <c:spPr>
              <a:solidFill>
                <a:srgbClr val="FF00FF"/>
              </a:solidFill>
              <a:ln>
                <a:solidFill>
                  <a:srgbClr val="FF00FF"/>
                </a:solidFill>
                <a:prstDash val="solid"/>
              </a:ln>
            </c:spPr>
          </c:marker>
          <c:cat>
            <c:numRef>
              <c:f>Sheet1!$B$1:$H$1</c:f>
              <c:numCache>
                <c:formatCode>General</c:formatCode>
                <c:ptCount val="7"/>
                <c:pt idx="0">
                  <c:v>1990</c:v>
                </c:pt>
                <c:pt idx="1">
                  <c:v>1991</c:v>
                </c:pt>
                <c:pt idx="2">
                  <c:v>1992</c:v>
                </c:pt>
                <c:pt idx="3">
                  <c:v>1993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</c:numCache>
            </c:numRef>
          </c:cat>
          <c:val>
            <c:numRef>
              <c:f>Sheet1!$B$3:$H$3</c:f>
              <c:numCache>
                <c:formatCode>General</c:formatCode>
                <c:ptCount val="7"/>
                <c:pt idx="0">
                  <c:v>29</c:v>
                </c:pt>
                <c:pt idx="1">
                  <c:v>32</c:v>
                </c:pt>
                <c:pt idx="2">
                  <c:v>38</c:v>
                </c:pt>
                <c:pt idx="3">
                  <c:v>42</c:v>
                </c:pt>
                <c:pt idx="4">
                  <c:v>39</c:v>
                </c:pt>
                <c:pt idx="5">
                  <c:v>35</c:v>
                </c:pt>
                <c:pt idx="6">
                  <c:v>30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Продукт П1</c:v>
                </c:pt>
              </c:strCache>
            </c:strRef>
          </c:tx>
          <c:spPr>
            <a:ln w="12700">
              <a:solidFill>
                <a:srgbClr val="FFFF00"/>
              </a:solidFill>
              <a:prstDash val="solid"/>
            </a:ln>
          </c:spPr>
          <c:marker>
            <c:symbol val="triangle"/>
            <c:size val="5"/>
            <c:spPr>
              <a:solidFill>
                <a:srgbClr val="FFFF00"/>
              </a:solidFill>
              <a:ln>
                <a:solidFill>
                  <a:srgbClr val="FFFF00"/>
                </a:solidFill>
                <a:prstDash val="solid"/>
              </a:ln>
            </c:spPr>
          </c:marker>
          <c:cat>
            <c:numRef>
              <c:f>Sheet1!$B$1:$H$1</c:f>
              <c:numCache>
                <c:formatCode>General</c:formatCode>
                <c:ptCount val="7"/>
                <c:pt idx="0">
                  <c:v>1990</c:v>
                </c:pt>
                <c:pt idx="1">
                  <c:v>1991</c:v>
                </c:pt>
                <c:pt idx="2">
                  <c:v>1992</c:v>
                </c:pt>
                <c:pt idx="3">
                  <c:v>1993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</c:numCache>
            </c:numRef>
          </c:cat>
          <c:val>
            <c:numRef>
              <c:f>Sheet1!$B$4:$H$4</c:f>
              <c:numCache>
                <c:formatCode>General</c:formatCode>
                <c:ptCount val="7"/>
                <c:pt idx="0">
                  <c:v>28</c:v>
                </c:pt>
                <c:pt idx="1">
                  <c:v>29</c:v>
                </c:pt>
                <c:pt idx="2">
                  <c:v>30</c:v>
                </c:pt>
                <c:pt idx="3">
                  <c:v>35</c:v>
                </c:pt>
                <c:pt idx="4">
                  <c:v>27</c:v>
                </c:pt>
                <c:pt idx="5">
                  <c:v>26</c:v>
                </c:pt>
                <c:pt idx="6">
                  <c:v>24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Продукт П3</c:v>
                </c:pt>
              </c:strCache>
            </c:strRef>
          </c:tx>
          <c:spPr>
            <a:ln w="12700">
              <a:solidFill>
                <a:srgbClr val="00FFFF"/>
              </a:solidFill>
              <a:prstDash val="solid"/>
            </a:ln>
          </c:spPr>
          <c:marker>
            <c:symbol val="x"/>
            <c:size val="5"/>
            <c:spPr>
              <a:noFill/>
              <a:ln>
                <a:solidFill>
                  <a:srgbClr val="00FFFF"/>
                </a:solidFill>
                <a:prstDash val="solid"/>
              </a:ln>
            </c:spPr>
          </c:marker>
          <c:cat>
            <c:numRef>
              <c:f>Sheet1!$B$1:$H$1</c:f>
              <c:numCache>
                <c:formatCode>General</c:formatCode>
                <c:ptCount val="7"/>
                <c:pt idx="0">
                  <c:v>1990</c:v>
                </c:pt>
                <c:pt idx="1">
                  <c:v>1991</c:v>
                </c:pt>
                <c:pt idx="2">
                  <c:v>1992</c:v>
                </c:pt>
                <c:pt idx="3">
                  <c:v>1993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</c:numCache>
            </c:numRef>
          </c:cat>
          <c:val>
            <c:numRef>
              <c:f>Sheet1!$B$5:$H$5</c:f>
              <c:numCache>
                <c:formatCode>General</c:formatCode>
                <c:ptCount val="7"/>
                <c:pt idx="0">
                  <c:v>19</c:v>
                </c:pt>
                <c:pt idx="1">
                  <c:v>18</c:v>
                </c:pt>
                <c:pt idx="2">
                  <c:v>17</c:v>
                </c:pt>
                <c:pt idx="3">
                  <c:v>16</c:v>
                </c:pt>
                <c:pt idx="4">
                  <c:v>12</c:v>
                </c:pt>
                <c:pt idx="5">
                  <c:v>10</c:v>
                </c:pt>
                <c:pt idx="6">
                  <c:v>8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Sheet1!$A$6</c:f>
              <c:strCache>
                <c:ptCount val="1"/>
                <c:pt idx="0">
                  <c:v>Продукт П4</c:v>
                </c:pt>
              </c:strCache>
            </c:strRef>
          </c:tx>
          <c:spPr>
            <a:ln w="12700">
              <a:solidFill>
                <a:srgbClr val="800080"/>
              </a:solidFill>
              <a:prstDash val="solid"/>
            </a:ln>
          </c:spPr>
          <c:marker>
            <c:symbol val="star"/>
            <c:size val="5"/>
            <c:spPr>
              <a:noFill/>
              <a:ln>
                <a:solidFill>
                  <a:srgbClr val="800080"/>
                </a:solidFill>
                <a:prstDash val="solid"/>
              </a:ln>
            </c:spPr>
          </c:marker>
          <c:cat>
            <c:numRef>
              <c:f>Sheet1!$B$1:$H$1</c:f>
              <c:numCache>
                <c:formatCode>General</c:formatCode>
                <c:ptCount val="7"/>
                <c:pt idx="0">
                  <c:v>1990</c:v>
                </c:pt>
                <c:pt idx="1">
                  <c:v>1991</c:v>
                </c:pt>
                <c:pt idx="2">
                  <c:v>1992</c:v>
                </c:pt>
                <c:pt idx="3">
                  <c:v>1993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</c:numCache>
            </c:numRef>
          </c:cat>
          <c:val>
            <c:numRef>
              <c:f>Sheet1!$B$6:$H$6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5</c:v>
                </c:pt>
                <c:pt idx="6">
                  <c:v>9</c:v>
                </c:pt>
              </c:numCache>
            </c:numRef>
          </c:val>
          <c:smooth val="0"/>
        </c:ser>
        <c:ser>
          <c:idx val="5"/>
          <c:order val="5"/>
          <c:tx>
            <c:strRef>
              <c:f>Sheet1!$A$7</c:f>
              <c:strCache>
                <c:ptCount val="1"/>
                <c:pt idx="0">
                  <c:v>Продукт П5</c:v>
                </c:pt>
              </c:strCache>
            </c:strRef>
          </c:tx>
          <c:spPr>
            <a:ln w="12700">
              <a:solidFill>
                <a:srgbClr val="80000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800000"/>
              </a:solidFill>
              <a:ln>
                <a:solidFill>
                  <a:srgbClr val="800000"/>
                </a:solidFill>
                <a:prstDash val="solid"/>
              </a:ln>
            </c:spPr>
          </c:marker>
          <c:cat>
            <c:numRef>
              <c:f>Sheet1!$B$1:$H$1</c:f>
              <c:numCache>
                <c:formatCode>General</c:formatCode>
                <c:ptCount val="7"/>
                <c:pt idx="0">
                  <c:v>1990</c:v>
                </c:pt>
                <c:pt idx="1">
                  <c:v>1991</c:v>
                </c:pt>
                <c:pt idx="2">
                  <c:v>1992</c:v>
                </c:pt>
                <c:pt idx="3">
                  <c:v>1993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</c:numCache>
            </c:numRef>
          </c:cat>
          <c:val>
            <c:numRef>
              <c:f>Sheet1!$B$7:$H$7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2</c:v>
                </c:pt>
                <c:pt idx="6">
                  <c:v>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6733000"/>
        <c:axId val="206733392"/>
      </c:lineChart>
      <c:catAx>
        <c:axId val="20673300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Годы</a:t>
                </a:r>
              </a:p>
            </c:rich>
          </c:tx>
          <c:layout>
            <c:manualLayout>
              <c:xMode val="edge"/>
              <c:yMode val="edge"/>
              <c:x val="0.38537549407114624"/>
              <c:y val="0.82417582417582413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20673339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6733392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Объем продаж, млн. услов. единиц</a:t>
                </a:r>
              </a:p>
            </c:rich>
          </c:tx>
          <c:layout>
            <c:manualLayout>
              <c:xMode val="edge"/>
              <c:yMode val="edge"/>
              <c:x val="2.1739130434782608E-2"/>
              <c:y val="6.5934065934065936E-2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206733000"/>
        <c:crosses val="autoZero"/>
        <c:crossBetween val="between"/>
        <c:majorUnit val="10"/>
      </c:valAx>
      <c:spPr>
        <a:noFill/>
        <a:ln w="25400">
          <a:noFill/>
        </a:ln>
      </c:spPr>
    </c:plotArea>
    <c:legend>
      <c:legendPos val="r"/>
      <c:overlay val="0"/>
      <c:spPr>
        <a:noFill/>
        <a:ln w="25400">
          <a:noFill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1092</Words>
  <Characters>6230</Characters>
  <Application>Microsoft Office Word</Application>
  <DocSecurity>0</DocSecurity>
  <Lines>51</Lines>
  <Paragraphs>14</Paragraphs>
  <ScaleCrop>false</ScaleCrop>
  <Company/>
  <LinksUpToDate>false</LinksUpToDate>
  <CharactersWithSpaces>7308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2015-10-07T05:16:00Z</dcterms:created>
  <dcterms:modified xsi:type="dcterms:W3CDTF">2015-10-07T05:16:00Z</dcterms:modified>
</cp:coreProperties>
</file>